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8DEA" w14:textId="77777777" w:rsidR="00D26871" w:rsidRDefault="008A4B36" w:rsidP="008A4B36">
      <w:pPr>
        <w:spacing w:after="0"/>
        <w:jc w:val="center"/>
        <w:rPr>
          <w:b/>
          <w:sz w:val="24"/>
          <w:highlight w:val="green"/>
        </w:rPr>
      </w:pPr>
      <w:r w:rsidRPr="00D26871">
        <w:rPr>
          <w:b/>
          <w:sz w:val="24"/>
          <w:highlight w:val="green"/>
        </w:rPr>
        <w:t xml:space="preserve">For Schools of Public Health only: </w:t>
      </w:r>
    </w:p>
    <w:p w14:paraId="573B8C2F" w14:textId="39153297" w:rsidR="009203F2" w:rsidRDefault="008A4B36" w:rsidP="008A4B36">
      <w:pPr>
        <w:spacing w:after="0"/>
        <w:jc w:val="center"/>
        <w:rPr>
          <w:b/>
          <w:sz w:val="24"/>
        </w:rPr>
      </w:pPr>
      <w:r w:rsidRPr="00D26871">
        <w:rPr>
          <w:b/>
          <w:sz w:val="24"/>
          <w:highlight w:val="green"/>
        </w:rPr>
        <w:t>This change relates to offering a new non-public health degree</w:t>
      </w:r>
      <w:r w:rsidR="00D26871" w:rsidRPr="00D26871">
        <w:rPr>
          <w:b/>
          <w:sz w:val="24"/>
          <w:highlight w:val="green"/>
        </w:rPr>
        <w:t xml:space="preserve"> or</w:t>
      </w:r>
      <w:r w:rsidRPr="00D26871">
        <w:rPr>
          <w:b/>
          <w:sz w:val="24"/>
          <w:highlight w:val="green"/>
        </w:rPr>
        <w:t xml:space="preserve"> concentration area OR reactivating a previously suspended/discontinued non-public health degree or </w:t>
      </w:r>
      <w:proofErr w:type="gramStart"/>
      <w:r w:rsidRPr="00D26871">
        <w:rPr>
          <w:b/>
          <w:sz w:val="24"/>
          <w:highlight w:val="green"/>
        </w:rPr>
        <w:t>concentration</w:t>
      </w:r>
      <w:proofErr w:type="gramEnd"/>
    </w:p>
    <w:p w14:paraId="227DD452" w14:textId="77777777" w:rsidR="00712BD1" w:rsidRPr="008A4B36" w:rsidRDefault="00712BD1" w:rsidP="008A4B36">
      <w:pPr>
        <w:spacing w:after="0"/>
        <w:jc w:val="center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4B36" w14:paraId="106BF4B1" w14:textId="77777777" w:rsidTr="008A4B36">
        <w:tc>
          <w:tcPr>
            <w:tcW w:w="4675" w:type="dxa"/>
            <w:shd w:val="clear" w:color="auto" w:fill="D9D9D9" w:themeFill="background1" w:themeFillShade="D9"/>
          </w:tcPr>
          <w:p w14:paraId="5047212F" w14:textId="77777777" w:rsidR="008A4B36" w:rsidRDefault="008A4B36" w:rsidP="008A4B36">
            <w:r>
              <w:t>School Name</w:t>
            </w:r>
          </w:p>
        </w:tc>
        <w:tc>
          <w:tcPr>
            <w:tcW w:w="4675" w:type="dxa"/>
          </w:tcPr>
          <w:p w14:paraId="53D0E848" w14:textId="77777777" w:rsidR="008A4B36" w:rsidRDefault="008A4B36" w:rsidP="008A4B36"/>
        </w:tc>
      </w:tr>
      <w:tr w:rsidR="008A4B36" w14:paraId="6E696719" w14:textId="77777777" w:rsidTr="008A4B36">
        <w:tc>
          <w:tcPr>
            <w:tcW w:w="4675" w:type="dxa"/>
            <w:shd w:val="clear" w:color="auto" w:fill="D9D9D9" w:themeFill="background1" w:themeFillShade="D9"/>
          </w:tcPr>
          <w:p w14:paraId="1896D84F" w14:textId="77777777" w:rsidR="008A4B36" w:rsidRDefault="008A4B36" w:rsidP="008A4B36">
            <w:r>
              <w:t>Name and Email of Individual Completing Form</w:t>
            </w:r>
          </w:p>
        </w:tc>
        <w:tc>
          <w:tcPr>
            <w:tcW w:w="4675" w:type="dxa"/>
          </w:tcPr>
          <w:p w14:paraId="6DF51667" w14:textId="77777777" w:rsidR="008A4B36" w:rsidRDefault="008A4B36" w:rsidP="008A4B36"/>
        </w:tc>
      </w:tr>
      <w:tr w:rsidR="008A4B36" w14:paraId="0B0135F0" w14:textId="77777777" w:rsidTr="008A4B36">
        <w:tc>
          <w:tcPr>
            <w:tcW w:w="4675" w:type="dxa"/>
            <w:shd w:val="clear" w:color="auto" w:fill="D9D9D9" w:themeFill="background1" w:themeFillShade="D9"/>
          </w:tcPr>
          <w:p w14:paraId="5CA529AF" w14:textId="77777777" w:rsidR="008A4B36" w:rsidRDefault="008A4B36" w:rsidP="008A4B36">
            <w:r>
              <w:t>Date of Form Submission</w:t>
            </w:r>
          </w:p>
        </w:tc>
        <w:tc>
          <w:tcPr>
            <w:tcW w:w="4675" w:type="dxa"/>
          </w:tcPr>
          <w:p w14:paraId="473D054D" w14:textId="77777777" w:rsidR="008A4B36" w:rsidRDefault="008A4B36" w:rsidP="008A4B36"/>
        </w:tc>
      </w:tr>
    </w:tbl>
    <w:p w14:paraId="4B14C88C" w14:textId="77777777" w:rsidR="008A4B36" w:rsidRDefault="008A4B36" w:rsidP="009203F2">
      <w:pPr>
        <w:spacing w:after="0"/>
        <w:ind w:firstLine="450"/>
        <w:rPr>
          <w:rFonts w:ascii="Tahoma" w:hAnsi="Tahoma"/>
          <w:sz w:val="18"/>
          <w:szCs w:val="18"/>
        </w:rPr>
      </w:pPr>
    </w:p>
    <w:p w14:paraId="775E76B3" w14:textId="77777777" w:rsidR="008A4B36" w:rsidRDefault="008A4B36" w:rsidP="009203F2">
      <w:pPr>
        <w:spacing w:after="0"/>
        <w:ind w:firstLine="450"/>
        <w:rPr>
          <w:rFonts w:ascii="Tahoma" w:hAnsi="Tahoma"/>
          <w:sz w:val="18"/>
          <w:szCs w:val="18"/>
        </w:rPr>
      </w:pPr>
    </w:p>
    <w:p w14:paraId="30A7903D" w14:textId="3AE46169" w:rsidR="009203F2" w:rsidRDefault="009203F2">
      <w:pPr>
        <w:rPr>
          <w:b/>
        </w:rPr>
      </w:pPr>
      <w:r>
        <w:rPr>
          <w:b/>
        </w:rPr>
        <w:t>Item 1</w:t>
      </w:r>
      <w:r w:rsidRPr="00EB4F3C">
        <w:rPr>
          <w:b/>
        </w:rPr>
        <w:t xml:space="preserve">: List each </w:t>
      </w:r>
      <w:r w:rsidR="00712BD1">
        <w:rPr>
          <w:b/>
        </w:rPr>
        <w:t xml:space="preserve">non-public health </w:t>
      </w:r>
      <w:r w:rsidRPr="00EB4F3C">
        <w:rPr>
          <w:b/>
        </w:rPr>
        <w:t>degree or concentration covered by this notice.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80"/>
        <w:gridCol w:w="1302"/>
        <w:gridCol w:w="4079"/>
        <w:gridCol w:w="3591"/>
      </w:tblGrid>
      <w:tr w:rsidR="00A474B1" w14:paraId="5873554D" w14:textId="77777777" w:rsidTr="00A474B1">
        <w:trPr>
          <w:trHeight w:val="35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5B0" w14:textId="77777777" w:rsidR="00A474B1" w:rsidRDefault="00A474B1" w:rsidP="00A474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0FD7" w14:textId="77777777" w:rsidR="00A474B1" w:rsidRDefault="00A474B1" w:rsidP="00A474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Degree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A011" w14:textId="77777777" w:rsidR="00A474B1" w:rsidRDefault="00A474B1" w:rsidP="00A474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Concentration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DF00" w14:textId="501B2A74" w:rsidR="00A474B1" w:rsidRDefault="00A474B1" w:rsidP="00A474B1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D2751">
              <w:rPr>
                <w:rFonts w:ascii="Tahoma" w:hAnsi="Tahoma"/>
                <w:b/>
                <w:sz w:val="20"/>
                <w:szCs w:val="20"/>
              </w:rPr>
              <w:t>Delivery Format</w:t>
            </w:r>
          </w:p>
        </w:tc>
      </w:tr>
      <w:tr w:rsidR="00A474B1" w14:paraId="615C496B" w14:textId="77777777" w:rsidTr="00A474B1">
        <w:trPr>
          <w:trHeight w:val="26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4DBA" w14:textId="77777777" w:rsidR="00A474B1" w:rsidRDefault="00A474B1" w:rsidP="00A47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1D9" w14:textId="77777777" w:rsidR="00A474B1" w:rsidRDefault="00A474B1" w:rsidP="00A47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5D2D" w14:textId="77777777" w:rsidR="00A474B1" w:rsidRDefault="00A474B1" w:rsidP="00A47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39D" w14:textId="36BFA346" w:rsidR="00A474B1" w:rsidRDefault="00000000" w:rsidP="00A474B1">
            <w:pPr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sz w:val="20"/>
                  <w:szCs w:val="20"/>
                </w:rPr>
                <w:id w:val="4509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4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</w:t>
            </w:r>
            <w:r w:rsidR="00D26871">
              <w:rPr>
                <w:rFonts w:ascii="Tahoma" w:hAnsi="Tahoma"/>
                <w:sz w:val="16"/>
                <w:szCs w:val="16"/>
              </w:rPr>
              <w:t>Place-based</w:t>
            </w:r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83820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4B1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Distance</w:t>
            </w:r>
            <w:r w:rsidR="00D26871">
              <w:rPr>
                <w:rFonts w:ascii="Tahoma" w:hAnsi="Tahoma"/>
                <w:sz w:val="16"/>
                <w:szCs w:val="16"/>
              </w:rPr>
              <w:t>-based</w:t>
            </w:r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-18806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4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Both</w:t>
            </w:r>
          </w:p>
        </w:tc>
      </w:tr>
      <w:tr w:rsidR="00A474B1" w14:paraId="3E637AD0" w14:textId="77777777" w:rsidTr="00A474B1">
        <w:trPr>
          <w:trHeight w:val="26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836F" w14:textId="77777777" w:rsidR="00A474B1" w:rsidRDefault="00A474B1" w:rsidP="00A47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2F0" w14:textId="77777777" w:rsidR="00A474B1" w:rsidRDefault="00A474B1" w:rsidP="00A47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6452" w14:textId="77777777" w:rsidR="00A474B1" w:rsidRDefault="00A474B1" w:rsidP="00A47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E0D" w14:textId="6A1CA57F" w:rsidR="00A474B1" w:rsidRDefault="00000000" w:rsidP="00A474B1">
            <w:pPr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sz w:val="20"/>
                  <w:szCs w:val="20"/>
                </w:rPr>
                <w:id w:val="-68281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4B1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</w:t>
            </w:r>
            <w:r w:rsidR="00D26871">
              <w:rPr>
                <w:rFonts w:ascii="Tahoma" w:hAnsi="Tahoma"/>
                <w:sz w:val="16"/>
                <w:szCs w:val="16"/>
              </w:rPr>
              <w:t>Place-based</w:t>
            </w:r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-103048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4B1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Distance</w:t>
            </w:r>
            <w:r w:rsidR="00D26871">
              <w:rPr>
                <w:rFonts w:ascii="Tahoma" w:hAnsi="Tahoma"/>
                <w:sz w:val="16"/>
                <w:szCs w:val="16"/>
              </w:rPr>
              <w:t>-based</w:t>
            </w:r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-196858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4B1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Both</w:t>
            </w:r>
          </w:p>
        </w:tc>
      </w:tr>
      <w:tr w:rsidR="00A474B1" w14:paraId="11FF5044" w14:textId="77777777" w:rsidTr="00A474B1">
        <w:trPr>
          <w:trHeight w:val="2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53E2" w14:textId="77777777" w:rsidR="00A474B1" w:rsidRDefault="00A474B1" w:rsidP="00A47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22A" w14:textId="77777777" w:rsidR="00A474B1" w:rsidRDefault="00A474B1" w:rsidP="00A47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6E2" w14:textId="77777777" w:rsidR="00A474B1" w:rsidRDefault="00A474B1" w:rsidP="00A47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F26" w14:textId="46BF66E1" w:rsidR="00A474B1" w:rsidRDefault="00000000" w:rsidP="00A474B1">
            <w:pPr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sz w:val="20"/>
                  <w:szCs w:val="20"/>
                </w:rPr>
                <w:id w:val="-111251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4B1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</w:t>
            </w:r>
            <w:r w:rsidR="00D26871">
              <w:rPr>
                <w:rFonts w:ascii="Tahoma" w:hAnsi="Tahoma"/>
                <w:sz w:val="16"/>
                <w:szCs w:val="16"/>
              </w:rPr>
              <w:t>Place-based</w:t>
            </w:r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-51862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4B1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Distance</w:t>
            </w:r>
            <w:r w:rsidR="00D26871">
              <w:rPr>
                <w:rFonts w:ascii="Tahoma" w:hAnsi="Tahoma"/>
                <w:sz w:val="16"/>
                <w:szCs w:val="16"/>
              </w:rPr>
              <w:t>-based</w:t>
            </w:r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86170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4B1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74B1" w:rsidRPr="00DD2751">
              <w:rPr>
                <w:rFonts w:ascii="Tahoma" w:hAnsi="Tahoma"/>
                <w:sz w:val="16"/>
                <w:szCs w:val="16"/>
              </w:rPr>
              <w:t xml:space="preserve"> Both</w:t>
            </w:r>
          </w:p>
        </w:tc>
      </w:tr>
    </w:tbl>
    <w:p w14:paraId="764A2F7F" w14:textId="77777777" w:rsidR="00E132C8" w:rsidRDefault="00E132C8">
      <w:pPr>
        <w:rPr>
          <w:b/>
        </w:rPr>
      </w:pPr>
    </w:p>
    <w:p w14:paraId="275540AA" w14:textId="77777777" w:rsidR="009203F2" w:rsidRDefault="009203F2" w:rsidP="009203F2">
      <w:pPr>
        <w:spacing w:after="120" w:line="240" w:lineRule="auto"/>
        <w:rPr>
          <w:rFonts w:ascii="Souvenir" w:hAnsi="Souvenir"/>
          <w:b/>
          <w:spacing w:val="-2"/>
          <w:sz w:val="24"/>
        </w:rPr>
      </w:pPr>
      <w:r>
        <w:rPr>
          <w:b/>
        </w:rPr>
        <w:t>I</w:t>
      </w:r>
      <w:r w:rsidRPr="006D2BDA">
        <w:rPr>
          <w:b/>
        </w:rPr>
        <w:t xml:space="preserve">tem </w:t>
      </w:r>
      <w:r>
        <w:rPr>
          <w:b/>
        </w:rPr>
        <w:t>2. Map learning objectives</w:t>
      </w:r>
      <w:r w:rsidRPr="006D2BDA">
        <w:rPr>
          <w:b/>
        </w:rPr>
        <w:t xml:space="preserve"> to courses</w:t>
      </w:r>
      <w:r>
        <w:rPr>
          <w:b/>
        </w:rPr>
        <w:t>.</w:t>
      </w:r>
    </w:p>
    <w:p w14:paraId="0C9E7EB2" w14:textId="77777777" w:rsidR="009203F2" w:rsidRDefault="009203F2" w:rsidP="009203F2">
      <w:pPr>
        <w:suppressAutoHyphens/>
        <w:spacing w:after="0" w:line="240" w:lineRule="auto"/>
        <w:jc w:val="both"/>
        <w:rPr>
          <w:rFonts w:ascii="Souvenir" w:hAnsi="Souvenir"/>
          <w:b/>
          <w:spacing w:val="-2"/>
          <w:sz w:val="24"/>
        </w:rPr>
      </w:pPr>
    </w:p>
    <w:p w14:paraId="376F2A56" w14:textId="77777777" w:rsidR="009203F2" w:rsidRDefault="009203F2" w:rsidP="009203F2">
      <w:pPr>
        <w:suppressAutoHyphens/>
        <w:spacing w:after="0" w:line="240" w:lineRule="auto"/>
        <w:jc w:val="center"/>
        <w:rPr>
          <w:rFonts w:ascii="Souvenir" w:hAnsi="Souvenir"/>
          <w:b/>
          <w:spacing w:val="-2"/>
          <w:sz w:val="24"/>
        </w:rPr>
      </w:pPr>
      <w:r>
        <w:rPr>
          <w:rFonts w:ascii="Souvenir" w:hAnsi="Souvenir"/>
          <w:b/>
          <w:spacing w:val="-2"/>
          <w:sz w:val="24"/>
        </w:rPr>
        <w:t>Mapping of introductory public health le</w:t>
      </w:r>
      <w:r w:rsidR="00712BD1">
        <w:rPr>
          <w:rFonts w:ascii="Souvenir" w:hAnsi="Souvenir"/>
          <w:b/>
          <w:spacing w:val="-2"/>
          <w:sz w:val="24"/>
        </w:rPr>
        <w:t xml:space="preserve">arning objectives for all </w:t>
      </w:r>
      <w:r w:rsidR="00712BD1" w:rsidRPr="002030CD">
        <w:rPr>
          <w:rFonts w:ascii="Souvenir" w:hAnsi="Souvenir"/>
          <w:b/>
          <w:spacing w:val="-2"/>
          <w:sz w:val="24"/>
          <w:highlight w:val="yellow"/>
        </w:rPr>
        <w:t xml:space="preserve">non-public health </w:t>
      </w:r>
      <w:r w:rsidRPr="002030CD">
        <w:rPr>
          <w:rFonts w:ascii="Souvenir" w:hAnsi="Souvenir"/>
          <w:b/>
          <w:spacing w:val="-2"/>
          <w:sz w:val="24"/>
          <w:highlight w:val="yellow"/>
        </w:rPr>
        <w:t>degrees e.g., DPT</w:t>
      </w:r>
      <w:r w:rsidRPr="00DB4509">
        <w:rPr>
          <w:rFonts w:ascii="Souvenir" w:hAnsi="Souvenir"/>
          <w:b/>
          <w:spacing w:val="-2"/>
          <w:sz w:val="24"/>
          <w:highlight w:val="yellow"/>
        </w:rPr>
        <w:t>, MHA, MSW</w:t>
      </w:r>
    </w:p>
    <w:p w14:paraId="3CBCC29C" w14:textId="77777777" w:rsidR="00D26871" w:rsidRDefault="00D26871" w:rsidP="00D26871">
      <w:pPr>
        <w:suppressAutoHyphens/>
        <w:spacing w:after="0" w:line="240" w:lineRule="auto"/>
        <w:rPr>
          <w:rFonts w:ascii="Souvenir" w:hAnsi="Souvenir"/>
          <w:b/>
          <w:spacing w:val="-2"/>
          <w:highlight w:val="yellow"/>
        </w:rPr>
      </w:pPr>
      <w:bookmarkStart w:id="0" w:name="_Hlk119402869"/>
    </w:p>
    <w:p w14:paraId="37765911" w14:textId="2DE4C741" w:rsidR="00D26871" w:rsidRPr="00806653" w:rsidRDefault="00D26871" w:rsidP="00D26871">
      <w:pPr>
        <w:suppressAutoHyphens/>
        <w:spacing w:after="0" w:line="240" w:lineRule="auto"/>
        <w:rPr>
          <w:rFonts w:ascii="Souvenir" w:hAnsi="Souvenir"/>
          <w:b/>
          <w:spacing w:val="-2"/>
        </w:rPr>
      </w:pPr>
      <w:r w:rsidRPr="002A0BB0">
        <w:rPr>
          <w:rFonts w:ascii="Souvenir" w:hAnsi="Souvenir"/>
          <w:b/>
          <w:spacing w:val="-2"/>
          <w:highlight w:val="yellow"/>
        </w:rPr>
        <w:t>Attach documentation (e.g., detailed course schedules, outlines to selected modules from the LMS, etc.) that identifies how each learning objective is addressed.</w:t>
      </w:r>
    </w:p>
    <w:bookmarkEnd w:id="0"/>
    <w:p w14:paraId="33853D05" w14:textId="77777777" w:rsidR="009203F2" w:rsidRDefault="009203F2" w:rsidP="009203F2">
      <w:pPr>
        <w:suppressAutoHyphens/>
        <w:spacing w:after="0" w:line="240" w:lineRule="auto"/>
        <w:jc w:val="both"/>
        <w:rPr>
          <w:rFonts w:ascii="Souvenir" w:hAnsi="Souvenir"/>
          <w:b/>
          <w:spacing w:val="-2"/>
          <w:sz w:val="24"/>
        </w:rPr>
      </w:pPr>
    </w:p>
    <w:tbl>
      <w:tblPr>
        <w:tblW w:w="98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60"/>
        <w:gridCol w:w="4680"/>
      </w:tblGrid>
      <w:tr w:rsidR="009203F2" w:rsidRPr="007F6953" w14:paraId="361B5718" w14:textId="77777777" w:rsidTr="004B5490">
        <w:trPr>
          <w:trHeight w:val="797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</w:tcPr>
          <w:p w14:paraId="1982A5A9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b/>
                <w:b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</w:tcPr>
          <w:p w14:paraId="441A0AC1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b/>
                <w:bCs/>
                <w:color w:val="000000"/>
                <w:sz w:val="20"/>
                <w:szCs w:val="20"/>
              </w:rPr>
              <w:t>Course number(s) and name(s)^</w:t>
            </w:r>
          </w:p>
        </w:tc>
      </w:tr>
      <w:tr w:rsidR="009203F2" w:rsidRPr="007F6953" w14:paraId="05F665BF" w14:textId="77777777" w:rsidTr="004B5490">
        <w:trPr>
          <w:trHeight w:val="506"/>
        </w:trPr>
        <w:tc>
          <w:tcPr>
            <w:tcW w:w="5160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6" w:space="0" w:color="auto"/>
            </w:tcBorders>
          </w:tcPr>
          <w:p w14:paraId="51E90A69" w14:textId="77777777" w:rsidR="009203F2" w:rsidRPr="007F6953" w:rsidRDefault="009203F2" w:rsidP="004B5490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eastAsia="Arial Unicode MS" w:cs="Arial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 xml:space="preserve">Explain public health history, </w:t>
            </w:r>
            <w:proofErr w:type="gramStart"/>
            <w:r w:rsidRPr="007F6953">
              <w:rPr>
                <w:rFonts w:eastAsia="Arial Unicode MS" w:cs="Arial"/>
                <w:sz w:val="20"/>
                <w:szCs w:val="20"/>
              </w:rPr>
              <w:t>philosophy</w:t>
            </w:r>
            <w:proofErr w:type="gramEnd"/>
            <w:r w:rsidRPr="007F6953">
              <w:rPr>
                <w:rFonts w:eastAsia="Arial Unicode MS" w:cs="Arial"/>
                <w:sz w:val="20"/>
                <w:szCs w:val="20"/>
              </w:rPr>
              <w:t xml:space="preserve"> and values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6" w:space="0" w:color="auto"/>
            </w:tcBorders>
          </w:tcPr>
          <w:p w14:paraId="74413E0D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03F2" w:rsidRPr="007F6953" w14:paraId="6BC3F636" w14:textId="77777777" w:rsidTr="004B5490">
        <w:trPr>
          <w:trHeight w:val="506"/>
        </w:trPr>
        <w:tc>
          <w:tcPr>
            <w:tcW w:w="5160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6" w:space="0" w:color="auto"/>
            </w:tcBorders>
          </w:tcPr>
          <w:p w14:paraId="58AA0EF3" w14:textId="77777777" w:rsidR="009203F2" w:rsidRPr="007F6953" w:rsidRDefault="009203F2" w:rsidP="004B5490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eastAsia="Arial Unicode MS" w:cs="Arial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Identify the core functions of public health and the 10 Essential Services*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6" w:space="0" w:color="auto"/>
            </w:tcBorders>
          </w:tcPr>
          <w:p w14:paraId="0F0C73D2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03F2" w:rsidRPr="007F6953" w14:paraId="65EC82C1" w14:textId="77777777" w:rsidTr="004B5490">
        <w:trPr>
          <w:trHeight w:val="506"/>
        </w:trPr>
        <w:tc>
          <w:tcPr>
            <w:tcW w:w="516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7C954ED" w14:textId="77777777" w:rsidR="009203F2" w:rsidRPr="007F6953" w:rsidRDefault="009203F2" w:rsidP="004B5490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eastAsia="Arial Unicode MS" w:cs="Arial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 xml:space="preserve">Explain the role of quantitative and qualitative methods and sciences in describing and assessing a population’s health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1CBE3BC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03F2" w:rsidRPr="007F6953" w14:paraId="54C3847E" w14:textId="77777777" w:rsidTr="004B5490">
        <w:trPr>
          <w:trHeight w:val="55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D610FB0" w14:textId="6C9117C6" w:rsidR="009203F2" w:rsidRPr="007F6953" w:rsidRDefault="009203F2" w:rsidP="004B5490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List major causes and trends of morbidity and mortality in the U</w:t>
            </w:r>
            <w:r w:rsidR="00AA4A18">
              <w:rPr>
                <w:rFonts w:eastAsia="Arial Unicode MS" w:cs="Arial"/>
                <w:sz w:val="20"/>
                <w:szCs w:val="20"/>
              </w:rPr>
              <w:t>.</w:t>
            </w:r>
            <w:r w:rsidRPr="007F6953">
              <w:rPr>
                <w:rFonts w:eastAsia="Arial Unicode MS" w:cs="Arial"/>
                <w:sz w:val="20"/>
                <w:szCs w:val="20"/>
              </w:rPr>
              <w:t>S</w:t>
            </w:r>
            <w:r w:rsidR="00AA4A18">
              <w:rPr>
                <w:rFonts w:eastAsia="Arial Unicode MS" w:cs="Arial"/>
                <w:sz w:val="20"/>
                <w:szCs w:val="20"/>
              </w:rPr>
              <w:t>.</w:t>
            </w:r>
            <w:r w:rsidRPr="007F6953">
              <w:rPr>
                <w:rFonts w:eastAsia="Arial Unicode MS" w:cs="Arial"/>
                <w:sz w:val="20"/>
                <w:szCs w:val="20"/>
              </w:rPr>
              <w:t xml:space="preserve"> or other community relevant to the school or program</w:t>
            </w:r>
            <w:r w:rsidR="00AA4A18">
              <w:rPr>
                <w:rFonts w:eastAsia="Arial Unicode MS" w:cs="Arial"/>
                <w:sz w:val="20"/>
                <w:szCs w:val="20"/>
              </w:rPr>
              <w:t>, with attention to disparities among populations, e.g., socioeconomic, ethnic, gender, racial, etc.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FA3AA27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03F2" w:rsidRPr="007F6953" w14:paraId="3BDAFC53" w14:textId="77777777" w:rsidTr="004B5490">
        <w:trPr>
          <w:trHeight w:val="49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BBEA5F2" w14:textId="77777777" w:rsidR="009203F2" w:rsidRPr="007F6953" w:rsidRDefault="009203F2" w:rsidP="004B5490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Discuss the science of primary, secondary and tertiary prevention in population health, including health promotion, screening, etc.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BF11C65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03F2" w:rsidRPr="007F6953" w14:paraId="67566E9F" w14:textId="77777777" w:rsidTr="004B5490">
        <w:trPr>
          <w:trHeight w:val="53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B0EC761" w14:textId="77777777" w:rsidR="009203F2" w:rsidRPr="007F6953" w:rsidRDefault="009203F2" w:rsidP="004B5490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Explain the critical importance of evidence in advancing public health knowledge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103BC2A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03F2" w:rsidRPr="007F6953" w14:paraId="59FDA265" w14:textId="77777777" w:rsidTr="004B5490">
        <w:trPr>
          <w:trHeight w:val="49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9DEC205" w14:textId="77777777" w:rsidR="009203F2" w:rsidRPr="007F6953" w:rsidRDefault="009203F2" w:rsidP="004B5490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lastRenderedPageBreak/>
              <w:t>Explain effects of environmental factors on a population’s health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1C6281C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03F2" w:rsidRPr="007F6953" w14:paraId="3DBF08A2" w14:textId="77777777" w:rsidTr="004B5490">
        <w:trPr>
          <w:trHeight w:val="49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24BF001" w14:textId="77777777" w:rsidR="009203F2" w:rsidRPr="007F6953" w:rsidRDefault="009203F2" w:rsidP="004B5490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Explain biological and genetic factors that affect a population’s health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643451B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03F2" w:rsidRPr="007F6953" w14:paraId="65F6ED81" w14:textId="77777777" w:rsidTr="004B5490">
        <w:trPr>
          <w:trHeight w:val="49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4BAF0F0" w14:textId="77777777" w:rsidR="009203F2" w:rsidRPr="007F6953" w:rsidRDefault="009203F2" w:rsidP="004B5490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Explain behavioral and psychological factors that affect a population’s health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2BA08F7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03F2" w:rsidRPr="007F6953" w14:paraId="2B922387" w14:textId="77777777" w:rsidTr="004B5490">
        <w:trPr>
          <w:trHeight w:val="739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D025EC8" w14:textId="67CE3DFC" w:rsidR="009203F2" w:rsidRPr="007F6953" w:rsidRDefault="009203F2" w:rsidP="004B5490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 xml:space="preserve">Explain the </w:t>
            </w:r>
            <w:r w:rsidR="00AA4A18">
              <w:rPr>
                <w:rFonts w:eastAsia="Arial Unicode MS" w:cs="Arial"/>
                <w:sz w:val="20"/>
                <w:szCs w:val="20"/>
              </w:rPr>
              <w:t xml:space="preserve">cultural, </w:t>
            </w:r>
            <w:r w:rsidRPr="007F6953">
              <w:rPr>
                <w:rFonts w:eastAsia="Arial Unicode MS" w:cs="Arial"/>
                <w:sz w:val="20"/>
                <w:szCs w:val="20"/>
              </w:rPr>
              <w:t>social, political</w:t>
            </w:r>
            <w:r w:rsidR="00AA4A18">
              <w:rPr>
                <w:rFonts w:eastAsia="Arial Unicode MS" w:cs="Arial"/>
                <w:sz w:val="20"/>
                <w:szCs w:val="20"/>
              </w:rPr>
              <w:t>,</w:t>
            </w:r>
            <w:r w:rsidRPr="007F6953">
              <w:rPr>
                <w:rFonts w:eastAsia="Arial Unicode MS" w:cs="Arial"/>
                <w:sz w:val="20"/>
                <w:szCs w:val="20"/>
              </w:rPr>
              <w:t xml:space="preserve"> and economic determinants of health and how the</w:t>
            </w:r>
            <w:r w:rsidR="00AA4A18">
              <w:rPr>
                <w:rFonts w:eastAsia="Arial Unicode MS" w:cs="Arial"/>
                <w:sz w:val="20"/>
                <w:szCs w:val="20"/>
              </w:rPr>
              <w:t xml:space="preserve"> determinants relate</w:t>
            </w:r>
            <w:r w:rsidRPr="007F6953">
              <w:rPr>
                <w:rFonts w:eastAsia="Arial Unicode MS" w:cs="Arial"/>
                <w:sz w:val="20"/>
                <w:szCs w:val="20"/>
              </w:rPr>
              <w:t xml:space="preserve"> to population health and health inequities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EFAEE3A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03F2" w:rsidRPr="007F6953" w14:paraId="4EC76FB8" w14:textId="77777777" w:rsidTr="004B5490">
        <w:trPr>
          <w:trHeight w:val="53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069C0A5" w14:textId="77777777" w:rsidR="009203F2" w:rsidRPr="007F6953" w:rsidRDefault="009203F2" w:rsidP="004B5490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Explain how globalization affects global burdens of disease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410422D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203F2" w:rsidRPr="007F6953" w14:paraId="1AB87945" w14:textId="77777777" w:rsidTr="004B5490">
        <w:trPr>
          <w:trHeight w:val="754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15C899" w14:textId="77777777" w:rsidR="009203F2" w:rsidRPr="007F6953" w:rsidRDefault="009203F2" w:rsidP="004B54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Explain an ecological perspective on the connections among human health, animal health and ecosystem health (eg, One Health)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BD7EDB" w14:textId="77777777" w:rsidR="009203F2" w:rsidRPr="007F6953" w:rsidRDefault="009203F2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210FA26" w14:textId="495B97C3" w:rsidR="009203F2" w:rsidRPr="00D26871" w:rsidRDefault="009203F2" w:rsidP="00D26871">
      <w:pPr>
        <w:spacing w:after="0" w:line="240" w:lineRule="auto"/>
        <w:ind w:left="90"/>
        <w:jc w:val="both"/>
        <w:rPr>
          <w:rFonts w:eastAsia="Times New Roman" w:cstheme="minorHAnsi"/>
          <w:iCs/>
          <w:color w:val="000000"/>
          <w:sz w:val="20"/>
        </w:rPr>
      </w:pPr>
      <w:r w:rsidRPr="00D26871">
        <w:rPr>
          <w:rFonts w:eastAsia="Times New Roman" w:cstheme="minorHAnsi"/>
          <w:iCs/>
          <w:color w:val="000000"/>
          <w:sz w:val="20"/>
        </w:rPr>
        <w:t>* Institutions outside the U</w:t>
      </w:r>
      <w:r w:rsidR="00AA4A18">
        <w:rPr>
          <w:rFonts w:eastAsia="Times New Roman" w:cstheme="minorHAnsi"/>
          <w:iCs/>
          <w:color w:val="000000"/>
          <w:sz w:val="20"/>
        </w:rPr>
        <w:t>.</w:t>
      </w:r>
      <w:r w:rsidRPr="00D26871">
        <w:rPr>
          <w:rFonts w:eastAsia="Times New Roman" w:cstheme="minorHAnsi"/>
          <w:iCs/>
          <w:color w:val="000000"/>
          <w:sz w:val="20"/>
        </w:rPr>
        <w:t>S</w:t>
      </w:r>
      <w:r w:rsidR="00AA4A18">
        <w:rPr>
          <w:rFonts w:eastAsia="Times New Roman" w:cstheme="minorHAnsi"/>
          <w:iCs/>
          <w:color w:val="000000"/>
          <w:sz w:val="20"/>
        </w:rPr>
        <w:t>.</w:t>
      </w:r>
      <w:r w:rsidRPr="00D26871">
        <w:rPr>
          <w:rFonts w:eastAsia="Times New Roman" w:cstheme="minorHAnsi"/>
          <w:iCs/>
          <w:color w:val="000000"/>
          <w:sz w:val="20"/>
        </w:rPr>
        <w:t xml:space="preserve"> may replace 10 Essential Services with content appropriate to the nation/region.</w:t>
      </w:r>
    </w:p>
    <w:p w14:paraId="5059527B" w14:textId="77777777" w:rsidR="009203F2" w:rsidRPr="00D26871" w:rsidRDefault="009203F2" w:rsidP="00D26871">
      <w:pPr>
        <w:spacing w:after="0" w:line="240" w:lineRule="auto"/>
        <w:ind w:left="90"/>
        <w:jc w:val="both"/>
        <w:rPr>
          <w:rFonts w:eastAsia="Times New Roman" w:cstheme="minorHAnsi"/>
          <w:iCs/>
          <w:color w:val="000000"/>
          <w:sz w:val="20"/>
        </w:rPr>
      </w:pPr>
    </w:p>
    <w:p w14:paraId="0DBE07E3" w14:textId="3FD5DF47" w:rsidR="009203F2" w:rsidRPr="00D26871" w:rsidRDefault="009203F2" w:rsidP="00D26871">
      <w:pPr>
        <w:spacing w:after="0" w:line="240" w:lineRule="auto"/>
        <w:ind w:left="90"/>
        <w:jc w:val="both"/>
        <w:rPr>
          <w:rFonts w:eastAsia="Times New Roman" w:cstheme="minorHAnsi"/>
          <w:iCs/>
          <w:color w:val="000000"/>
          <w:sz w:val="20"/>
        </w:rPr>
      </w:pPr>
      <w:r w:rsidRPr="00D26871">
        <w:rPr>
          <w:rFonts w:eastAsia="Times New Roman" w:cstheme="minorHAnsi"/>
          <w:iCs/>
          <w:color w:val="000000"/>
          <w:sz w:val="20"/>
        </w:rPr>
        <w:t>The Council understands that schools may assess each learning objective in multiple courses. The school may choose an example for each.</w:t>
      </w:r>
    </w:p>
    <w:p w14:paraId="4E4142B7" w14:textId="77777777" w:rsidR="009203F2" w:rsidRPr="00D26871" w:rsidRDefault="009203F2" w:rsidP="00D26871">
      <w:pPr>
        <w:spacing w:after="0" w:line="240" w:lineRule="auto"/>
        <w:ind w:left="90"/>
        <w:jc w:val="both"/>
        <w:rPr>
          <w:rFonts w:eastAsia="Times New Roman" w:cstheme="minorHAnsi"/>
          <w:iCs/>
          <w:color w:val="000000"/>
          <w:sz w:val="20"/>
        </w:rPr>
      </w:pPr>
    </w:p>
    <w:p w14:paraId="38A9499D" w14:textId="3C34CB4B" w:rsidR="009203F2" w:rsidRPr="00D26871" w:rsidRDefault="009203F2" w:rsidP="00D26871">
      <w:pPr>
        <w:spacing w:after="0" w:line="240" w:lineRule="auto"/>
        <w:ind w:left="90"/>
        <w:jc w:val="both"/>
        <w:rPr>
          <w:rFonts w:eastAsia="Times New Roman" w:cstheme="minorHAnsi"/>
          <w:iCs/>
          <w:color w:val="000000"/>
          <w:sz w:val="20"/>
        </w:rPr>
      </w:pPr>
      <w:r w:rsidRPr="00D26871">
        <w:rPr>
          <w:rFonts w:eastAsia="Times New Roman" w:cstheme="minorHAnsi"/>
          <w:iCs/>
          <w:color w:val="000000"/>
          <w:sz w:val="20"/>
        </w:rPr>
        <w:t xml:space="preserve">^ This form asks for a simplified version of the template required in the self-study. In the self-study, schools must identify the specific </w:t>
      </w:r>
      <w:r w:rsidR="00D26871">
        <w:rPr>
          <w:rFonts w:eastAsia="Times New Roman" w:cstheme="minorHAnsi"/>
          <w:iCs/>
          <w:color w:val="000000"/>
          <w:sz w:val="20"/>
        </w:rPr>
        <w:t>assessment</w:t>
      </w:r>
      <w:r w:rsidRPr="00D26871">
        <w:rPr>
          <w:rFonts w:eastAsia="Times New Roman" w:cstheme="minorHAnsi"/>
          <w:iCs/>
          <w:color w:val="000000"/>
          <w:sz w:val="20"/>
        </w:rPr>
        <w:t xml:space="preserve"> that addresses each learning objective in Template D1</w:t>
      </w:r>
      <w:r w:rsidR="00D26871" w:rsidRPr="00D26871">
        <w:rPr>
          <w:rFonts w:eastAsia="Times New Roman" w:cstheme="minorHAnsi"/>
          <w:iCs/>
          <w:color w:val="000000"/>
          <w:sz w:val="20"/>
        </w:rPr>
        <w:t>8</w:t>
      </w:r>
      <w:r w:rsidRPr="00D26871">
        <w:rPr>
          <w:rFonts w:eastAsia="Times New Roman" w:cstheme="minorHAnsi"/>
          <w:iCs/>
          <w:color w:val="000000"/>
          <w:sz w:val="20"/>
        </w:rPr>
        <w:t xml:space="preserve">-1. </w:t>
      </w:r>
    </w:p>
    <w:p w14:paraId="1C331BAA" w14:textId="77777777" w:rsidR="00E77347" w:rsidRDefault="00E77347" w:rsidP="00E77347">
      <w:pPr>
        <w:rPr>
          <w:b/>
        </w:rPr>
      </w:pPr>
    </w:p>
    <w:p w14:paraId="4CF52627" w14:textId="722BFA6D" w:rsidR="008C1B52" w:rsidRDefault="008C1B52" w:rsidP="00E77347">
      <w:pPr>
        <w:rPr>
          <w:b/>
        </w:rPr>
      </w:pPr>
      <w:r w:rsidRPr="00B24535">
        <w:rPr>
          <w:b/>
        </w:rPr>
        <w:t xml:space="preserve">Item </w:t>
      </w:r>
      <w:r>
        <w:rPr>
          <w:b/>
        </w:rPr>
        <w:t>3</w:t>
      </w:r>
      <w:r w:rsidRPr="00B24535">
        <w:rPr>
          <w:b/>
        </w:rPr>
        <w:t xml:space="preserve">. </w:t>
      </w:r>
      <w:r w:rsidR="00721CE9">
        <w:rPr>
          <w:b/>
        </w:rPr>
        <w:t>Answer the following questions:</w:t>
      </w:r>
    </w:p>
    <w:p w14:paraId="16182831" w14:textId="12D4ABD8" w:rsidR="00230787" w:rsidRPr="00FD73BD" w:rsidRDefault="00230787" w:rsidP="00E77347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D73BD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8B759A" wp14:editId="0F516BC2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924550" cy="1190625"/>
                <wp:effectExtent l="0" t="0" r="19050" b="28575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E004" w14:textId="77777777" w:rsidR="00721CE9" w:rsidRPr="00931534" w:rsidRDefault="00721CE9" w:rsidP="00721CE9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B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1.1pt;width:466.5pt;height:93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">
                <v:textbox>
                  <w:txbxContent>
                    <w:p w14:paraId="3B37E004" w14:textId="77777777" w:rsidR="00721CE9" w:rsidRPr="00931534" w:rsidRDefault="00721CE9" w:rsidP="00721CE9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1CE9" w:rsidRPr="00FD73BD">
        <w:rPr>
          <w:rFonts w:cstheme="minorHAnsi"/>
        </w:rPr>
        <w:t>When is the new/reactivated degree expected to enroll its first students?</w:t>
      </w:r>
    </w:p>
    <w:p w14:paraId="168386AA" w14:textId="730B39A6" w:rsidR="00230787" w:rsidRPr="00FD73BD" w:rsidRDefault="00230787" w:rsidP="00E77347">
      <w:pPr>
        <w:pStyle w:val="ListParagraph"/>
        <w:jc w:val="both"/>
        <w:rPr>
          <w:rFonts w:cstheme="minorHAnsi"/>
        </w:rPr>
      </w:pPr>
    </w:p>
    <w:p w14:paraId="540C1C32" w14:textId="0A3F3A51" w:rsidR="00230787" w:rsidRPr="00FD73BD" w:rsidRDefault="00721CE9" w:rsidP="00E77347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D73BD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FB4D8B" wp14:editId="62623197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924550" cy="14192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B50D" w14:textId="77777777" w:rsidR="00721CE9" w:rsidRPr="00931534" w:rsidRDefault="00721CE9" w:rsidP="00721CE9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4D8B" id="Text Box 3" o:spid="_x0000_s1027" type="#_x0000_t202" style="position:absolute;left:0;text-align:left;margin-left:415.3pt;margin-top:21.6pt;width:466.5pt;height:11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">
                <v:textbox>
                  <w:txbxContent>
                    <w:p w14:paraId="0D04B50D" w14:textId="77777777" w:rsidR="00721CE9" w:rsidRPr="00931534" w:rsidRDefault="00721CE9" w:rsidP="00721CE9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3BD">
        <w:rPr>
          <w:rFonts w:cstheme="minorHAnsi"/>
        </w:rPr>
        <w:t>What is the justification or rationale for categorizing this offering as a non-public health degree?</w:t>
      </w:r>
    </w:p>
    <w:p w14:paraId="3CA626FA" w14:textId="26ED04DA" w:rsidR="00230787" w:rsidRPr="00FD73BD" w:rsidRDefault="00230787" w:rsidP="00230787">
      <w:pPr>
        <w:pStyle w:val="ListParagraph"/>
        <w:keepNext/>
        <w:numPr>
          <w:ilvl w:val="0"/>
          <w:numId w:val="4"/>
        </w:numPr>
        <w:jc w:val="both"/>
        <w:rPr>
          <w:rFonts w:cstheme="minorHAnsi"/>
        </w:rPr>
      </w:pPr>
      <w:r w:rsidRPr="00FD73BD">
        <w:rPr>
          <w:rFonts w:cstheme="min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283C9F" wp14:editId="00268784">
                <wp:simplePos x="0" y="0"/>
                <wp:positionH relativeFrom="margin">
                  <wp:align>right</wp:align>
                </wp:positionH>
                <wp:positionV relativeFrom="paragraph">
                  <wp:posOffset>438785</wp:posOffset>
                </wp:positionV>
                <wp:extent cx="5924550" cy="11620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5D5B" w14:textId="77777777" w:rsidR="00721CE9" w:rsidRPr="00931534" w:rsidRDefault="00721CE9" w:rsidP="00721CE9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3C9F" id="Text Box 6" o:spid="_x0000_s1028" type="#_x0000_t202" style="position:absolute;left:0;text-align:left;margin-left:415.3pt;margin-top:34.55pt;width:466.5pt;height:91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">
                <v:textbox>
                  <w:txbxContent>
                    <w:p w14:paraId="0CEB5D5B" w14:textId="77777777" w:rsidR="00721CE9" w:rsidRPr="00931534" w:rsidRDefault="00721CE9" w:rsidP="00721CE9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1CE9" w:rsidRPr="00FD73BD">
        <w:rPr>
          <w:rFonts w:cstheme="minorHAnsi"/>
        </w:rPr>
        <w:t>Specify the delivery format for all degrees covered by this notice (</w:t>
      </w:r>
      <w:r w:rsidR="00D26871">
        <w:rPr>
          <w:rFonts w:cstheme="minorHAnsi"/>
        </w:rPr>
        <w:t>placed</w:t>
      </w:r>
      <w:r w:rsidR="00721CE9" w:rsidRPr="00FD73BD">
        <w:rPr>
          <w:rFonts w:cstheme="minorHAnsi"/>
        </w:rPr>
        <w:t>-based</w:t>
      </w:r>
      <w:r w:rsidRPr="00FD73BD">
        <w:rPr>
          <w:rFonts w:cstheme="minorHAnsi"/>
        </w:rPr>
        <w:t xml:space="preserve"> (including </w:t>
      </w:r>
      <w:r w:rsidR="00721CE9" w:rsidRPr="00FD73BD">
        <w:rPr>
          <w:rFonts w:cstheme="minorHAnsi"/>
        </w:rPr>
        <w:t>hybrid</w:t>
      </w:r>
      <w:r w:rsidRPr="00FD73BD">
        <w:rPr>
          <w:rFonts w:cstheme="minorHAnsi"/>
        </w:rPr>
        <w:t>)</w:t>
      </w:r>
      <w:r w:rsidR="00721CE9" w:rsidRPr="00FD73BD">
        <w:rPr>
          <w:rFonts w:cstheme="minorHAnsi"/>
        </w:rPr>
        <w:t xml:space="preserve"> or </w:t>
      </w:r>
      <w:r w:rsidR="00D26871">
        <w:rPr>
          <w:rFonts w:cstheme="minorHAnsi"/>
        </w:rPr>
        <w:t>distance-based</w:t>
      </w:r>
      <w:r w:rsidR="00721CE9" w:rsidRPr="00FD73BD">
        <w:rPr>
          <w:rFonts w:cstheme="minorHAnsi"/>
        </w:rPr>
        <w:t>):</w:t>
      </w:r>
    </w:p>
    <w:p w14:paraId="42AD5C7F" w14:textId="77777777" w:rsidR="00230787" w:rsidRPr="00FD73BD" w:rsidRDefault="00230787" w:rsidP="00230787">
      <w:pPr>
        <w:keepNext/>
        <w:jc w:val="both"/>
        <w:rPr>
          <w:rFonts w:cstheme="minorHAnsi"/>
        </w:rPr>
      </w:pPr>
    </w:p>
    <w:p w14:paraId="14417283" w14:textId="4D27AE34" w:rsidR="0022429E" w:rsidRDefault="0022429E" w:rsidP="0022429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Note: Be sure to update the school’s website to include the new offering(s)</w:t>
      </w:r>
      <w:r w:rsidR="00325D83">
        <w:rPr>
          <w:rFonts w:cstheme="minorHAnsi"/>
          <w:b/>
          <w:bCs/>
        </w:rPr>
        <w:t xml:space="preserve"> at the appropriate time (e.g., when student recruitment has started)</w:t>
      </w:r>
      <w:r>
        <w:rPr>
          <w:rFonts w:cstheme="minorHAnsi"/>
          <w:b/>
          <w:bCs/>
        </w:rPr>
        <w:t xml:space="preserve">. Accurate descriptions of educational offerings via advertising, promotional materials, recruiting literature, and other supporting material </w:t>
      </w:r>
      <w:r w:rsidR="00F17D66">
        <w:rPr>
          <w:rFonts w:cstheme="minorHAnsi"/>
          <w:b/>
          <w:bCs/>
        </w:rPr>
        <w:t>are</w:t>
      </w:r>
      <w:r>
        <w:rPr>
          <w:rFonts w:cstheme="minorHAnsi"/>
          <w:b/>
          <w:bCs/>
        </w:rPr>
        <w:t xml:space="preserve"> required as part of Criterion H5: Publication of Educational Offerings.</w:t>
      </w:r>
    </w:p>
    <w:p w14:paraId="11B99101" w14:textId="08F403C6" w:rsidR="008C1B52" w:rsidRPr="00FD73BD" w:rsidRDefault="008C1B52" w:rsidP="0022429E">
      <w:pPr>
        <w:pStyle w:val="ListParagraph"/>
        <w:keepNext/>
        <w:jc w:val="both"/>
        <w:rPr>
          <w:rFonts w:cstheme="minorHAnsi"/>
        </w:rPr>
      </w:pPr>
    </w:p>
    <w:sectPr w:rsidR="008C1B52" w:rsidRPr="00FD73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CCAC" w14:textId="77777777" w:rsidR="00942CD7" w:rsidRDefault="00942CD7" w:rsidP="009203F2">
      <w:pPr>
        <w:spacing w:after="0" w:line="240" w:lineRule="auto"/>
      </w:pPr>
      <w:r>
        <w:separator/>
      </w:r>
    </w:p>
  </w:endnote>
  <w:endnote w:type="continuationSeparator" w:id="0">
    <w:p w14:paraId="29F954DE" w14:textId="77777777" w:rsidR="00942CD7" w:rsidRDefault="00942CD7" w:rsidP="0092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589A" w14:textId="77777777" w:rsidR="00942CD7" w:rsidRDefault="00942CD7" w:rsidP="009203F2">
      <w:pPr>
        <w:spacing w:after="0" w:line="240" w:lineRule="auto"/>
      </w:pPr>
      <w:r>
        <w:separator/>
      </w:r>
    </w:p>
  </w:footnote>
  <w:footnote w:type="continuationSeparator" w:id="0">
    <w:p w14:paraId="3AA78426" w14:textId="77777777" w:rsidR="00942CD7" w:rsidRDefault="00942CD7" w:rsidP="0092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77AA" w14:textId="77777777" w:rsidR="009203F2" w:rsidRDefault="009203F2" w:rsidP="009203F2">
    <w:pPr>
      <w:pStyle w:val="Header"/>
      <w:jc w:val="center"/>
      <w:rPr>
        <w:rFonts w:ascii="Tahoma" w:hAnsi="Tahoma"/>
        <w:b/>
        <w:sz w:val="24"/>
        <w:u w:val="single"/>
      </w:rPr>
    </w:pPr>
    <w:r>
      <w:rPr>
        <w:rFonts w:ascii="Tahoma" w:hAnsi="Tahoma"/>
        <w:b/>
        <w:sz w:val="24"/>
        <w:u w:val="single"/>
      </w:rPr>
      <w:t>Substantive Change Form</w:t>
    </w:r>
  </w:p>
  <w:p w14:paraId="0DAB9F62" w14:textId="77777777" w:rsidR="009203F2" w:rsidRPr="001F1C78" w:rsidRDefault="009203F2" w:rsidP="009203F2">
    <w:pPr>
      <w:pStyle w:val="Header"/>
      <w:spacing w:after="240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 xml:space="preserve">Completion of this form fulfills the requirement for submitting a substantive change notice. Email the completed form to </w:t>
    </w:r>
    <w:hyperlink r:id="rId1" w:history="1">
      <w:r w:rsidRPr="00415E15">
        <w:rPr>
          <w:rStyle w:val="Hyperlink"/>
          <w:rFonts w:ascii="Tahoma" w:hAnsi="Tahoma"/>
          <w:sz w:val="18"/>
          <w:szCs w:val="18"/>
        </w:rPr>
        <w:t>submissions@ceph.org</w:t>
      </w:r>
    </w:hyperlink>
    <w:r>
      <w:rPr>
        <w:rFonts w:ascii="Tahoma" w:hAnsi="Tahoma"/>
        <w:sz w:val="18"/>
        <w:szCs w:val="18"/>
      </w:rPr>
      <w:t xml:space="preserve">. </w:t>
    </w:r>
  </w:p>
  <w:p w14:paraId="0C0E385D" w14:textId="77777777" w:rsidR="009203F2" w:rsidRDefault="00920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B4D"/>
    <w:multiLevelType w:val="hybridMultilevel"/>
    <w:tmpl w:val="087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694E"/>
    <w:multiLevelType w:val="hybridMultilevel"/>
    <w:tmpl w:val="70F02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B3CC1"/>
    <w:multiLevelType w:val="hybridMultilevel"/>
    <w:tmpl w:val="A678BBAE"/>
    <w:lvl w:ilvl="0" w:tplc="C62AC0C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E3FAF"/>
    <w:multiLevelType w:val="hybridMultilevel"/>
    <w:tmpl w:val="0418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5796">
    <w:abstractNumId w:val="3"/>
  </w:num>
  <w:num w:numId="2" w16cid:durableId="1215002940">
    <w:abstractNumId w:val="0"/>
  </w:num>
  <w:num w:numId="3" w16cid:durableId="1956985516">
    <w:abstractNumId w:val="2"/>
  </w:num>
  <w:num w:numId="4" w16cid:durableId="101202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F2"/>
    <w:rsid w:val="001418B5"/>
    <w:rsid w:val="002030CD"/>
    <w:rsid w:val="0022429E"/>
    <w:rsid w:val="00230787"/>
    <w:rsid w:val="002C07C9"/>
    <w:rsid w:val="00325D83"/>
    <w:rsid w:val="00592323"/>
    <w:rsid w:val="005D5DFA"/>
    <w:rsid w:val="005F48BA"/>
    <w:rsid w:val="00635C88"/>
    <w:rsid w:val="00712BD1"/>
    <w:rsid w:val="007170E4"/>
    <w:rsid w:val="00721CE9"/>
    <w:rsid w:val="00747E04"/>
    <w:rsid w:val="008A4B36"/>
    <w:rsid w:val="008C1B52"/>
    <w:rsid w:val="00906CC1"/>
    <w:rsid w:val="009203F2"/>
    <w:rsid w:val="00942CD7"/>
    <w:rsid w:val="0099623D"/>
    <w:rsid w:val="009D2DE8"/>
    <w:rsid w:val="00A45790"/>
    <w:rsid w:val="00A474B1"/>
    <w:rsid w:val="00AA4A18"/>
    <w:rsid w:val="00B56B86"/>
    <w:rsid w:val="00C14B24"/>
    <w:rsid w:val="00CF1E1D"/>
    <w:rsid w:val="00D26871"/>
    <w:rsid w:val="00D36416"/>
    <w:rsid w:val="00E132C8"/>
    <w:rsid w:val="00E77347"/>
    <w:rsid w:val="00F17D66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B710"/>
  <w15:docId w15:val="{68A506A5-F4AF-430E-BA65-FE5232AB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03F2"/>
  </w:style>
  <w:style w:type="paragraph" w:styleId="Footer">
    <w:name w:val="footer"/>
    <w:basedOn w:val="Normal"/>
    <w:link w:val="FooterChar"/>
    <w:uiPriority w:val="99"/>
    <w:unhideWhenUsed/>
    <w:rsid w:val="0092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F2"/>
  </w:style>
  <w:style w:type="character" w:styleId="Hyperlink">
    <w:name w:val="Hyperlink"/>
    <w:basedOn w:val="DefaultParagraphFont"/>
    <w:uiPriority w:val="99"/>
    <w:unhideWhenUsed/>
    <w:rsid w:val="009203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c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O'Connell</dc:creator>
  <cp:keywords/>
  <dc:description/>
  <cp:lastModifiedBy>Kristen Varol</cp:lastModifiedBy>
  <cp:revision>6</cp:revision>
  <dcterms:created xsi:type="dcterms:W3CDTF">2021-07-15T23:55:00Z</dcterms:created>
  <dcterms:modified xsi:type="dcterms:W3CDTF">2024-03-05T15:59:00Z</dcterms:modified>
</cp:coreProperties>
</file>